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"/>
        <w:gridCol w:w="609"/>
        <w:gridCol w:w="313"/>
        <w:gridCol w:w="468"/>
        <w:gridCol w:w="1219"/>
        <w:gridCol w:w="1359"/>
        <w:gridCol w:w="1797"/>
        <w:gridCol w:w="90"/>
        <w:gridCol w:w="613"/>
        <w:gridCol w:w="17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45" w:type="dxa"/>
          <w:trHeight w:val="465" w:hRule="atLeast"/>
        </w:trPr>
        <w:tc>
          <w:tcPr>
            <w:tcW w:w="59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石家庄学院2019年硕士研究生需求计划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学历、职称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经济法学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“双一流”建设高校（含一流学科高校）或国家级科研院所、国家承认学历的世界排名前500名国（境）外院校全日制硕士研究生毕业，本科阶段为全日制二批次及以上院校毕业（不包括专接本）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贺宾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13630811375；hebin806@163.com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管理类（文化管理方向、项目管理方向）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杨路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0311-66617220；330747801@qq.com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有行业从业经历和虚拟现实项目研发经验，担任过主创职位。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0311-66617202； yanghongli330@sina.com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电气类、自动化类、控制科学与工程类、电气工程类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本硕专业一致</w:t>
            </w: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史源平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0311-66617216；carrot9611@sina.com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本硕专业一致</w:t>
            </w: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环境工程类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“双一流”建设高校（含一流学科高校）或国家级科研院所、国家承认学历的世界排名前500名国（境）外院校全日制硕士研究生毕业，本科阶段为全日制二批次及以上院校毕业（不包括专接本）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牛建强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0311-66617238；njq1229@163.com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有行业中级及以上职称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0311-66617170；gsz2004@126.com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化学学科教学法、课程与教学论（化学）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“双一流”建设高校（含一流学科高校）或国家级科研院所、国家承认学历的世界排名前500名国（境）外院校全日制硕士研究生毕业，本科阶段为全日制二批次及以上院校毕业（不包括专接本）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段书徳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0311-66617321；duansd1964@163.com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计算机软件方向、网络安全方向、物联网方向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潘刚柱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0311-66617190；12575763@qq.com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舞蹈学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吴宝瑞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0311-66617311；332467598@qq.com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声乐学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“双一流”建设高校</w:t>
            </w:r>
            <w:r>
              <w:rPr>
                <w:rStyle w:val="6"/>
                <w:lang w:val="en-US" w:eastAsia="zh-CN" w:bidi="ar"/>
              </w:rPr>
              <w:t>（含一流学科高校）或</w:t>
            </w:r>
            <w:r>
              <w:rPr>
                <w:rStyle w:val="5"/>
                <w:lang w:val="en-US" w:eastAsia="zh-CN" w:bidi="ar"/>
              </w:rPr>
              <w:t>国家级科研院所、国家承认学历的世界排名前500名国（境）外院校、北京语言大学、北京第二外国语大学、西安外国语大学、广东外语外贸大学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胡鸿志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0311-66617182；516597682@qq.com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舞蹈方向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北京舞蹈学院、解放军艺术学院、中央民族大学全日制硕士研究生毕业，本硕学校层次一致。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本硕专业一致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姚秀梅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0311-66617302、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13103212700；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674375720@qq.com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马克思主义基本原理、马克思主义哲学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双一流”建设高校（含一流学科高校）或国家级科研院所全日制硕士研究生毕业，本科阶段为全日制一批次院校毕业（不包括专接本）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本硕专业（方向）一致；因执教思想政治理论课，要求为中共党员</w:t>
            </w: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崔勇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0311-66617262；sjzxymlb@126.com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中国近现代史或中共党史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双一流”建设高校（含一流学科高校）或国家级科研院所全日制硕士研究生毕业，本科阶段为全日制一批次院校毕业（不包括专接本）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本硕专业（方向）一致；因执教思想政治理论课，要求为中共党员</w:t>
            </w: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工业设计或产品设计专业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、国家承认学历的世界排名前500名国（境）外院校、八大美院、南京艺术学院、北京电影学院、中国传媒大学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李雪山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"mailto:525470966@qq.com"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0311-66617255；525470966@qq.com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实验教学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艺术设计或机械设计制造及其自动化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双一流”建设高校（含一流学科高校）或国家级科研院所、国家承认学历的世界排名前500名国（境）外院校、八大美院、南京艺术学院、北京电影学院、中国传媒大学全日制硕士研究生毕业。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（马术方向）</w:t>
            </w:r>
          </w:p>
        </w:tc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、国家承认学历的世界排名前500名国（境）外院校、上海体育学院、首都体育学院、成都体育学院、西安体育学院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有运动级别的条件可适当放宽</w:t>
            </w:r>
          </w:p>
        </w:tc>
        <w:tc>
          <w:tcPr>
            <w:tcW w:w="7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王进选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"mailto:wangjinxuan@126.com"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20"/>
                <w:szCs w:val="20"/>
                <w:u w:val="none"/>
              </w:rPr>
              <w:t>0311-66617341；wangjinxuan@126.com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（体育方向）</w:t>
            </w:r>
          </w:p>
        </w:tc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（体操方向）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、国家承认学历的世界排名前500名国（境）外院校、上海体育学院、首都体育学院、成都体育学院、西安体育学院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副高级以上职称条件可适当放宽，因执教男生，此岗位适合男性。</w:t>
            </w:r>
          </w:p>
        </w:tc>
        <w:tc>
          <w:tcPr>
            <w:tcW w:w="7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金融、会计或财务管理专业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“双一流”建设高校（含一流学科高校）或国家级科研院所、国家承认学历的世界排名前500名国（境）外院校全日制硕士研究生毕业，本科阶段为全日制二批次及以上院校毕业（不包括专接本）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卢玉芳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0311-66617135；916559590@qq.com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临床医学（妇科专业方向）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双一流”建设高校（含一流学科高校）或国家级科研院所、国家承认学历的世界排名前500名国（境）外院校全日制硕士研究生毕业，本科阶段为全日制二批次及以上院校毕业（不包括专接本）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具有执业医师资格，因妇科方向此岗位适合女性。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刘洪庄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0311-66617409；863529992@qq.com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362E2"/>
    <w:rsid w:val="788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2019-06-25T00:24:00Z</dcterms:created>
  <dc:creator>茕茕西固</dc:creator>
  <cp:lastModifiedBy>茕茕西固</cp:lastModifiedBy>
  <dcterms:modified xsi:type="dcterms:W3CDTF">2019-06-25T00:28:53Z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